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Аналитическая записка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к отчету о реализации муниципальных программ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 2021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Отчет о ходе реализации муниципальных программ за 2021 год подготовлен в соответствии с постановлением администрации муниципального образования Гусь-Хрустальный район (муниципальный район) от 10.10.2014 № 1487 «Об утверждении Порядка разработки, реализации и оценки эффективности муниципальных программ муниципального образования Гусь-Хрустальный район».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 2021 году в муниципальном образовании Гусь-Хрустальный район реализовывались 22 муниципальные программы.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Необходимый объем бюджетных и внебюджетных средств на реализацию программных мероприятий 2021 года по состоянию на 1 января 2022 года состав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642,4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млн. руб.,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из них: </w:t>
      </w:r>
    </w:p>
    <w:p>
      <w:pPr>
        <w:pStyle w:val="Normal"/>
        <w:spacing w:lineRule="auto" w:line="240" w:before="0" w:after="0"/>
        <w:ind w:left="-284" w:right="0" w:firstLine="71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федеральный бюджет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91,9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млн. руб.;</w:t>
      </w:r>
    </w:p>
    <w:p>
      <w:pPr>
        <w:pStyle w:val="Normal"/>
        <w:spacing w:lineRule="auto" w:line="240" w:before="0" w:after="0"/>
        <w:ind w:left="-284" w:right="0" w:firstLine="71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областной бюджет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790,6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млн. руб.; </w:t>
      </w:r>
    </w:p>
    <w:p>
      <w:pPr>
        <w:pStyle w:val="Normal"/>
        <w:spacing w:lineRule="auto" w:line="240" w:before="0" w:after="0"/>
        <w:ind w:left="-284" w:right="0" w:firstLine="71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районный бюджет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709,2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млн. руб.; </w:t>
      </w:r>
    </w:p>
    <w:p>
      <w:pPr>
        <w:pStyle w:val="Normal"/>
        <w:spacing w:lineRule="auto" w:line="240" w:before="0" w:after="0"/>
        <w:ind w:left="-284" w:right="0" w:firstLine="71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внебюджетные источники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50,7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млн. рублей.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27" w:right="-283" w:firstLine="68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состоянию на 01.01.2022 за счет всех источников финансирования на реализацию мероприятий муниципальных программ израсходовано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1577,3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млн. руб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., что состав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ило 96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% от необходимого объема средств на 2021 год. Из средств районного бюджета за 2021 год израсходовано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млн. рублей.</w:t>
      </w:r>
    </w:p>
    <w:p>
      <w:pPr>
        <w:pStyle w:val="Normal"/>
        <w:spacing w:lineRule="auto" w:line="240" w:before="0" w:after="0"/>
        <w:ind w:left="-284" w:right="-284" w:firstLine="71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итогам 2021 года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муниципальных программ получили софинансирование из областного бюджета на сумму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746,4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млн. рублей,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программы - из федерального бюджета на сумму -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86,7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млн. рублей.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Из средств внебюджетных источников израсходовано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42,2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млн. рублей.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-284" w:right="-284" w:firstLine="71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Реализация мероприятий с расходованием денежных средств </w:t>
      </w:r>
      <w:r>
        <w:rPr>
          <w:rFonts w:cs="Times New Roman" w:ascii="Times New Roman" w:hAnsi="Times New Roman"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муниципальных программ в первом полугодии не запланирована, поэтому денежные средства по этим программам не израсходованы.</w:t>
      </w:r>
    </w:p>
    <w:p>
      <w:pPr>
        <w:pStyle w:val="Normal"/>
        <w:spacing w:lineRule="auto" w:line="240" w:before="0" w:after="0"/>
        <w:ind w:left="-284" w:right="-284" w:firstLine="71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2021 году реализация мероприятий муниципальных программ характеризовалась следующими данными:</w:t>
      </w:r>
    </w:p>
    <w:p>
      <w:pPr>
        <w:pStyle w:val="Normal"/>
        <w:spacing w:lineRule="auto" w:line="240" w:before="0" w:after="0"/>
        <w:ind w:left="-284" w:right="-284" w:firstLine="71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Развитие агропромышленного комплекса Гусь-Хрустального района на 2013-2021 годы»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: комплексное обустройство населенных пунктов, расположенных в сельской местности, объектами социальной и инженерной инфраструктуры - 2240,7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Процент исполнения от годового планового назначения -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34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-284" w:right="-284" w:firstLine="710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«Развитие муниципальной службы в Гусь-Хрустальном районе на 2017-2022 годы»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: проведение конкурса «Лучший муниципальный служащий Гусь-Хрустального района» - 39,7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Процент исполнения от годового планового назначения 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«Информационное общество (2014-2021 годы)»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развитие официального сайта администрации района - 7,3 тыс. руб.; обеспечение юридической значимости документов при предоставлении муниципальных услуг - 43,3 тыс. руб.; обеспечение информационного взаимодействия при предоставлении муниципальных услуг - 192,1 тыс. руб.; приобретение лицензионного программного антивирусного обеспечения - 68 тыс. руб.;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организация защиты информационных систем, в том числе персональных данных - 2,7 тыс. руб.; </w:t>
      </w:r>
      <w:r>
        <w:rPr>
          <w:rFonts w:cs="Times New Roman" w:ascii="Times New Roman" w:hAnsi="Times New Roman"/>
          <w:color w:val="000000"/>
          <w:sz w:val="28"/>
          <w:szCs w:val="28"/>
        </w:rPr>
        <w:t>модернизация парка компьютерного оборудования - 224,9 тыс. руб.; модернизация и поддержка сети передачи данных органов местного самоуправления - 5 тыс. руб.; развитие системы бесперебойного питания - 20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27" w:right="-340" w:firstLine="624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«Управление муниципальными финансами и муниципальным долгом муниципального образования Гусь-Хрустальный район»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283" w:right="-340" w:firstLine="680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Подпрограмма 3 </w:t>
      </w:r>
      <w:r>
        <w:rPr>
          <w:rFonts w:cs="Times New Roman" w:ascii="Times New Roman" w:hAnsi="Times New Roman"/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(поселений) района».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283" w:right="-340" w:firstLine="68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Перечислено дотации на выравнивание бюджетной обеспеченности муниципальных образований (поселений) района из районного фонда финансовой поддержки поселений в сумме 68605 тыс. рублей или 100 % к плановым назначениям.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283" w:right="-340" w:firstLine="68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Перечислено иных межбюджетных трансфертов на обеспечение сбалансированности бюджетов муниципальных образований (поселений) района в сумме 58946,3 тыс. рублей.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283" w:right="-340" w:firstLine="68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течение 2021 года производилось своевременное ежемесячное перечисление бюджетам муниципальных образований (поселений) района дотации на выравнивание бюджетной обеспеченности поселений района и иных межбюджетных трансфертов на обеспечение сбалансированности местных бюджетов, в том числе в виде авансовых платежей с учетом возникающих потребностей в процессе исполнения бюджетов муниципальных образований (поселений) района.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uppressAutoHyphens w:val="true"/>
        <w:bidi w:val="0"/>
        <w:spacing w:lineRule="auto" w:line="240" w:before="0" w:after="0"/>
        <w:ind w:left="-283" w:right="-340" w:firstLine="680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«Управление муниципальным долгом муниципального образования Гусь-Хрустальный район».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uppressAutoHyphens w:val="true"/>
        <w:bidi w:val="0"/>
        <w:spacing w:lineRule="auto" w:line="240" w:before="0" w:after="0"/>
        <w:ind w:left="-283" w:right="-340" w:firstLine="68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 01.01.2022 </w:t>
      </w:r>
      <w:r>
        <w:rPr>
          <w:rFonts w:cs="Times New Roman" w:ascii="Times New Roman" w:hAnsi="Times New Roman"/>
          <w:color w:val="000000"/>
          <w:sz w:val="28"/>
          <w:szCs w:val="28"/>
        </w:rPr>
        <w:t>года о</w:t>
      </w:r>
      <w:r>
        <w:rPr>
          <w:rFonts w:cs="Times New Roman" w:ascii="Times New Roman" w:hAnsi="Times New Roman"/>
          <w:color w:val="000000"/>
          <w:sz w:val="28"/>
          <w:szCs w:val="28"/>
        </w:rPr>
        <w:t>беспечено отсутствие просроченной задолженности по предоставленным муниципальным образованиям (поселениям) района из бюджета муниципального района бюджетным кредитам. Расходы на обслуживание муниципального внутреннего долга составили 821,2 тыс. рублей.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-283" w:right="-340" w:firstLine="737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«Совершенствование автоматизированной информационной системы управления бюджетным процессом муниципального образования Гусь-Хрустальный район».</w:t>
        <w:tab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397" w:firstLine="68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рамках подпрограммы в 2021 году: произведено обновление используемых программных продуктов и НСИ к ним в связи с переходом на новый год и изменениями в законодательстве; проводилась работа по размещению информации на едином портале бюджетной системы РФ, в других федеральных информационных системах; обеспечено своевременное составление и предоставление бюджетной и налоговой отчетности, форм статистического наблюдения а также предоставление информации и документов в счетную палату ВО с использованием электронной подписи и/или защищенного канала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vpn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жедневно передавались в систему ГИС ГМП начисления подведомственных администраторов; осуществлен переход на использование казначейских счетов; продлено информационно-техническое сопровождение программного комплекса «1С-БГУ», «1С-Камин»; продлена лицензия на использование аккаунта СБИС; перевыпущены сертификаты ЭП; проведены работы по тестированию и модернизации локальной сети; производился текущий ремонт и модернизация компьютерной техники, а также закупка расходных материалов.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397" w:firstLine="737"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Подпрограмма 7 </w:t>
      </w:r>
      <w:r>
        <w:rPr>
          <w:rFonts w:cs="Times New Roman" w:ascii="Times New Roman" w:hAnsi="Times New Roman"/>
          <w:color w:val="000000"/>
          <w:sz w:val="28"/>
          <w:szCs w:val="28"/>
        </w:rPr>
        <w:t>«Создание условий для развития инициативного бюджетирования в Гусь-Хрустальном районе». В целях реализации подпрограммы в 2021 году обеспечено: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397"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повышение уровня финансово-правовых знаний и общей гражданской активности населения Гусь-Хрустального района в сфере образования и расходования публичных финансов;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397"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создание механизма действенной обратной связи между гражданами и органами местного самоуправления, позволяющего учитывать мнение населения при проведении бюджетной политики и осуществлять общественный контроль за результативностью и эффективностью расходования бюджетных средств;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397"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обеспечение методологической, информационной, обучающей поддержки органов местного самоуправления, способствующей развитию и распространению практик инициативного бюджетирования;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397"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расширение практик партнерства между публичной властью, гражданами, юридическими лицами, некоммерческими организациями и индивидуальными предпринимателями;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397"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создание инструмента мониторинга и проведения социологических обследований по оценке эффектов внедрения практик инициативного бюджетирования.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397" w:firstLine="737"/>
        <w:jc w:val="both"/>
        <w:rPr>
          <w:color w:val="000000"/>
        </w:rPr>
      </w:pPr>
      <w:r>
        <w:rPr>
          <w:rFonts w:eastAsia="Arial" w:cs="Times New Roman" w:ascii="Times New Roman" w:hAnsi="Times New Roman"/>
          <w:color w:val="000000"/>
          <w:sz w:val="28"/>
          <w:szCs w:val="28"/>
        </w:rPr>
        <w:t>Объем финансового обеспечения реализации подпрограммы за счет средств бюджета муниципального района за 2021 год ее реализации составляет 1994,8 тыс. рублей.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454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98,2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397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«Сохранение и развитие культуры Гусь-Хрустального района на 2016-2023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27" w:right="-397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«Наследие»</w:t>
      </w:r>
      <w:r>
        <w:rPr>
          <w:rFonts w:cs="Times New Roman" w:ascii="Times New Roman" w:hAnsi="Times New Roman"/>
          <w:color w:val="000000"/>
          <w:sz w:val="28"/>
          <w:szCs w:val="28"/>
        </w:rPr>
        <w:t>: организация библиотечного обслуживания населения - 28416,3 тыс. руб.; сохранность и пополнение библиотечных фондов - 2135,5 тыс. руб., государственная поддержка отрасли культуры на поддержку лучших работников сельских учреждений культуры - 103,2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397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«Искусство»</w:t>
      </w:r>
      <w:r>
        <w:rPr>
          <w:rFonts w:cs="Times New Roman" w:ascii="Times New Roman" w:hAnsi="Times New Roman"/>
          <w:color w:val="000000"/>
          <w:sz w:val="28"/>
          <w:szCs w:val="28"/>
        </w:rPr>
        <w:t>: обеспечение деятельности (оказание услуг) муниципальных культурно-досуговых учреждений - 16470,9 тыс. руб., традиционная народная культура и культурно-досуговая деятельность, развитие народного творчества и ремесел - 227 тыс. руб., укрепление материально-технической базы МУК - 353,4 тыс. руб., государственная поддержка отрасли культуры на обеспечение учреждений культуры специализированным автотранспортом для обслуживания населения, в том числе сельского населения - 5597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397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«Образование»</w:t>
      </w:r>
      <w:r>
        <w:rPr>
          <w:rFonts w:cs="Times New Roman" w:ascii="Times New Roman" w:hAnsi="Times New Roman"/>
          <w:color w:val="000000"/>
          <w:sz w:val="28"/>
          <w:szCs w:val="28"/>
        </w:rPr>
        <w:t>: организация предоставления дополнительного образования детей в области культуры и искусства - 10503,1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57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«Обеспечение условий реализации Программы»</w:t>
      </w:r>
      <w:r>
        <w:rPr>
          <w:rFonts w:cs="Times New Roman" w:ascii="Times New Roman" w:hAnsi="Times New Roman"/>
          <w:color w:val="000000"/>
          <w:sz w:val="28"/>
          <w:szCs w:val="28"/>
        </w:rPr>
        <w:t>: материально-техническое и финансовое обеспечение органов местного самоуправления и централизованных бухгалтерий в сфере культуры - 5446,4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-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99,8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физической культуры и спорта на территории Гусь-Хрустального района на 2019-2023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«Развитие физической культуры и массового спорта»</w:t>
      </w:r>
      <w:r>
        <w:rPr>
          <w:rFonts w:cs="Times New Roman" w:ascii="Times New Roman" w:hAnsi="Times New Roman"/>
          <w:color w:val="000000"/>
          <w:sz w:val="28"/>
          <w:szCs w:val="28"/>
        </w:rPr>
        <w:t>: совершенствование системы физического воспитания различных категорий и групп населения - 5985,1 тыс. руб.; расходы на мероприятия по реализации Всероссийского физкультурно-спортивного комплекса «Готов к труду и обороне» - 30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«Подготовка спортивного резерва»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- обеспечение подготовки спортивного резерва для спортивных сборных команд района - 6667,4 тыс. руб.; участие в официальных физкультурных и спортивных мероприятиях - 213,1 тыс. руб., Федеральный проект «Спорт-норма жизни» национального проекта «Демография» - 8973,2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283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«Старшее поколение» на 2016-2023 годы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: расходы на организацию свободного времени и культурного проведения досуга - 156,6 тыс. руб., обеспечение информационного сопровождения мероприятий граждан пожилого возраста - 38,9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Процент исполнения от годового планового назначения –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%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«Управление муниципальным имуществом и земельными ресурсами на 2014-2021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проведение оценки рыночной стоимости земельных участков и объектов недвижимости - 57 тыс. руб., приобретение оборудования, технических средств, комплектующих и компьютерной и оргтехнике, расходных материалов, услуги нотариуса – 262 тыс. руб., проведение технической инвентаризации, кадастровых работ в отношении зданий, строений, помещений и объектов незавершенного строительства, проведение комплексных кадастровых работ - 984,3 тыс. руб., обслуживание программы «БАРС» - 69,7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3" w:firstLine="73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«Дорожное хозяйство Гусь-Хрустального района на 2021-2025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автодорог общего пользования, а также их капитальный ремонт - 105349,8 тыс. руб., осуществление дорожной деятельности в отношении автомобильных дорог общего пользования местного значения - 82276,4 тыс. руб., содержание и текущий ремонт автомобильных дорог местного значения в границах муниципальных образований (поселений) района - 29102,1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jc w:val="both"/>
        <w:rPr>
          <w:color w:val="000000"/>
        </w:rPr>
      </w:pPr>
      <w:bookmarkStart w:id="0" w:name="__DdeLink__369_3775834875"/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91,7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bookmarkEnd w:id="0"/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«Ведение информационной системы обеспечения градостроительной деятельности на территории муниципального образования Гусь-Хрустальный район на 2021-2025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приобретение лицензионного программного обеспечения - 100 тыс. руб., организация кадастровой деятельности - 6 тыс. руб., материально-техническое обеспечение - 74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397" w:right="-283" w:firstLine="3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-283" w:right="-283" w:firstLine="794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«Модернизация объектов коммунальной инфраструктуры муниципального образования Гусь-Хрустальный район на 2019-2022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строительство, модернизация, капитальный, текущий ремонт и содержание котельных - 15987 тыс. руб.; строительство, реконструкция, модернизация, капитальный, текущий ремонт систем водоснабжения и водоотведения - 84777 тыс. руб., межбюджетные трансферты бюджета МО (поселений) - 1798,9 тыс. руб., разработка проектной и рабочей документации для объекта: «Реконструкция очистных сооружений канализации пос. Золотково» - 365 тыс. руб.; «Федеральный проект «Чистая вода» национального проекта «Жилье и городская среда» - 41860 тыс. рублей.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образования Гусь-Хрустального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«Развитие дошкольного образования детей»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организация предоставления дошкольного образования в муниципальных образовательных организациях, создание условий для осуществления присмотра и ухода за детьми, содержание детей в муниципальных образовательных организациях - 92804 тыс. руб.; содействие развитию системы дошкольного образования - 7320,2 тыс. руб., оказание мер социальной поддержки семьям с детьми - 8254,5 тыс. руб.; предоставление мер социальной поддержки работникам образования - 3259,3 тыс. рублей. 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«Развитие общего и дополнительного образования детей»</w:t>
      </w:r>
      <w:r>
        <w:rPr>
          <w:rFonts w:cs="Times New Roman" w:ascii="Times New Roman" w:hAnsi="Times New Roman"/>
          <w:color w:val="000000"/>
          <w:sz w:val="28"/>
          <w:szCs w:val="28"/>
        </w:rPr>
        <w:t>: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- 380360,4 тыс. руб.; организация предоставления общего и дополнительного образования в муниципальных образовательных организациях, создание условий для осуществления присмотра и ухода за детьми, содержание детей в муниципальных образовательных организациях - 182462,5 тыс. руб.; содействие развитию системы общего и дополнительного образования - 40287,8 тыс. руб.; оздоровление детей - 5871,6 тыс. руб., поддержка талантливой молодежи - 57,9 тыс. руб., проведение мероприятий в сфере образования - 100,7 тыс. руб.; предоставление мер социальной поддержки работникам образования - 19233,7 тыс. руб., организация временного трудоустройства несовершеннолетних граждан в свободное от учебы время - 523,8 тыс. руб.; независимая оценка качества образования района - 7,7 тыс. руб.; «Федеральный проект «Современная школа национального проекта «Образование» - 2469,2 тыс. руб.; «Федеральный проект «Успех каждого ребенка» - 919,5 тыс. руб.; «Федеральный проект «Цифровая образовательная среда» - 3823,7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«Комплексная безопасность образовательных организаций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обеспечение безопасности пребывания детей и взрослых в муниципальных образовательных организациях - 18505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«Обеспечение защиты прав и интересов детей-сирот и детей, оставшихся без попечения родителей»</w:t>
      </w:r>
      <w:r>
        <w:rPr>
          <w:rFonts w:cs="Times New Roman" w:ascii="Times New Roman" w:hAnsi="Times New Roman"/>
          <w:color w:val="000000"/>
          <w:sz w:val="28"/>
          <w:szCs w:val="28"/>
        </w:rPr>
        <w:t>: организация и осуществление деятельности по опеке и попечительству в отношении несовершеннолетних граждан – 1557,3 тыс. руб.; содержание ребенка в семье опекуна и приемной семье, а также вознаграждение, причитающееся приемному родителю - 19135,3 тыс. руб.; предоставление жилых помещений детям-сиротам и детям, оставшимся без попечения родителей - 11662,5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«Обеспечение реализации муниципальной программы «Развитие образования Гусь-Хрустального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организация и осуществление деятельности по учебно-методическому, информационно-правовому и бухгалтерскому сопровождению деятельности муниципальных образовательных организаций - 118590,2 тыс. руб., развитие системы персонифицированного дополнительного образования - 3695,3 тыс. рублей.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96,2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bidi w:val="0"/>
        <w:spacing w:lineRule="auto" w:line="240" w:before="0" w:after="0"/>
        <w:ind w:left="-283" w:right="-283" w:firstLine="794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Гусь-Хрустального района на 2019-2023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организация деятельности МКУ «Отдел по делам ГО ЧС и ОБ» - 8680,2 тыс. рублей; повышение уровня знаний работников в области ГО и ЧС - 7 тыс. руб.; обеспечение мер пожарной безопасности, безопасности людей на водных объектах - 1814,5 тыс. руб., абонентская плата за пользование каналами связи VPN связи - 653,8 тыс. руб.;  содержание и обслуживание комплексной системы экстренного оповещения населения и системы ТАСЦО - 2778,3 тыс. руб., техническое обслуживание приборов по линии гражданской обороны - 6,75 тыс. рублей.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99,9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потенциала молодежи на территории Гусь-Хрустального района на 2016-2023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«Социально-экономическая поддержка студентов, обучающихся в государственных учреждениях высшего профессионального образования по очной форме обучения, поступивших по целевому направлению, проживающих на территории Гусь-Хрустального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расходы по поддержке студентов, обучающихся в государственных учреждениях высшего профессионального образования по очной форме обучения, поступивших по целевому обучению – 60 тыс. рублей.</w:t>
      </w:r>
    </w:p>
    <w:p>
      <w:pPr>
        <w:pStyle w:val="ListParagraph"/>
        <w:tabs>
          <w:tab w:val="clear" w:pos="708"/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«Развитие потенциала молодежи на территории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персональные стипендии администрации района «Надежда Хрустального края» для одаренных и талантливых детей и молодежи в области культуры, образования, журналистики, спорта, развития детского и молодежного общественного движения - 61 тыс. руб.; расходы на реализацию мероприятий по формированию патриотического воспитания молодежи - 168,1 тыс. руб., реализация проектов-победителей конкурсов в сфере молодежной политики - 40 тыс. рублей.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«Обеспечение доступным и комфортным жильем населения Гусь-Хрустального района на 2021-2025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Подпрограмма «Обеспечение территорий документацией для осуществления градостроительной деятельности»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обеспечение территорий документацией для осуществления градостроительной деятельности - 1500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color w:val="000000"/>
        </w:rPr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Подпрограмма «Обеспечение жильем молодых семей Гусь-Хрустального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обеспечение жильем молодых семей - 6098,4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«Обеспечение жильем многодетных семей Гусь-Хрустального района»</w:t>
      </w:r>
      <w:r>
        <w:rPr>
          <w:rFonts w:cs="Times New Roman" w:ascii="Times New Roman" w:hAnsi="Times New Roman"/>
          <w:color w:val="000000"/>
          <w:sz w:val="28"/>
          <w:szCs w:val="28"/>
        </w:rPr>
        <w:t>: обеспечение жильем многодетных семей - 1386,2 тыс. рублей.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98,8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«Профилактика правонарушений, терроризма, экстремизма и противодействие незаконному обороту наркотических средств в Гусь-Хрустальном районе на 2019-2022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bookmarkStart w:id="1" w:name="__DdeLink__282_1817991825"/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«Обеспечение общественного порядка и профилактики правонарушений в Гусь-Хрустальном районе на 2019-202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: организация и проведение «Президентских спортивных игр» - 35 тыс. руб., проведение районных туристических слетов и экспедиций учащихся образовательных организаций района - 40 тыс. руб., создание и оборудование консультационных кабинетов для оказания психологической помощи - 40 тыс. руб.; техническое оснащение и программное обеспечение публичных центров правовой информации на базе библиотек - </w:t>
      </w:r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>30 тыс. руб.; проведение разъяснительной работы с населением по профилактике преступлений - 30 тыс. руб.; приобретение информационных стендов, плакатов и раздаточного материала по профилактике правонарушений - 100 тыс. руб.; создание народных дружин - 40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Подпрограмма «Профилактика терроризма и экстремизма в Гусь-Хрустальном районе на 2019-2022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проведение правовой школой по профилактике терроризма семинаров, треннингов антитеррористической и антиэкстремистской направленности - 15 тыс. руб.; установка внутреннего видеонаблюдения образовательных организаций - 100 тыс. руб.; приобретение стендов, содержащих информацию о порядке действий при обнаружении подозрительных лиц или предметов - 100 тыс. рублей.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4" w:right="-284" w:firstLine="71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Подпрограмма «Противодействие злоупотреблению наркотиками и их незаконному обороту в Гусь-Хрустальном районе на 2019-2022 годы»: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приобретение литературы антинаркотической направленности, оформление подписки на издания по проблемам профилактики наркомании и пропаганде ЗОЖ - 30 тыс. руб., организация и проведение массовых антинаркотических акций, направленных на профилактику наркомании и формированию ЗОЖ - 18 тыс. руб.;  укрепление материально-технической базы кабинетов психологов и социальных  педагогов - 50 тыс. руб.; проведение обучающих семинаров - 20 тыс. руб.; проведение конкурсов - 11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«Формирование законопослушного поведения участников дорожного движения в Гусь-Хрустальном районе на 2021-2024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проведение в ОУ района конкурсов и слетов в целях профилактики аварийности и детского ДТТ - 60 тыс. руб., приобретение учебно-методических пособий и материалов - 30 тыс. руб.; изготовление светоотражающих приспособлений для школьников - 10 тыс. руб.; создание и оборудование муниципального ресурсного центра на базе МБОУ «Великодворская СОШ» по профилактике детского ДТТ - 115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«Обеспечение экологической безопасности и качества окружающей среды на 2018-2021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выполнение работ по рекультивации свалки в г.Курлово - 15 тыс. руб., ремонт существующих и обустройство новых контейнерных площадок - 3471,5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«Эксплуатация гидротехнического сооружения гидроузла на реке Гусь у д.Тименка Гусь-Хрустального района на 2016-2021 годы»</w:t>
      </w:r>
      <w:r>
        <w:rPr>
          <w:rFonts w:cs="Times New Roman" w:ascii="Times New Roman" w:hAnsi="Times New Roman"/>
          <w:color w:val="000000"/>
          <w:sz w:val="28"/>
          <w:szCs w:val="28"/>
        </w:rPr>
        <w:t>: страхование гидротехнического сооружения гидроузла на реке Гусь у д.Тименка Гусь-Хрустального района - 23,2 тыс. рублей.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ListParagraph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-283" w:right="-227" w:firstLine="737"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Таким образом, по результатам реализации программ за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202</w:t>
      </w:r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 выполнение мероприятий 12 муниципальных программ составило 100 %, среднее значение выполнения мероприятий </w:t>
      </w:r>
      <w:r>
        <w:rPr>
          <w:rFonts w:cs="Times New Roman" w:ascii="Times New Roman" w:hAnsi="Times New Roman"/>
          <w:color w:val="000000"/>
          <w:sz w:val="28"/>
          <w:szCs w:val="28"/>
        </w:rPr>
        <w:t>6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муниципальных программ составило от </w:t>
      </w:r>
      <w:r>
        <w:rPr>
          <w:rFonts w:cs="Times New Roman" w:ascii="Times New Roman" w:hAnsi="Times New Roman"/>
          <w:color w:val="000000"/>
          <w:sz w:val="28"/>
          <w:szCs w:val="28"/>
        </w:rPr>
        <w:t>91,7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до 99,9 %. Выполнение мероприятий 1 муниципальной программы составило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34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%. Выполнение мероприятий </w:t>
      </w:r>
      <w:r>
        <w:rPr>
          <w:rFonts w:cs="Times New Roman" w:ascii="Times New Roman" w:hAnsi="Times New Roman"/>
          <w:color w:val="000000"/>
          <w:sz w:val="28"/>
          <w:szCs w:val="28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муниципальных программ с расходованием денежных средств в 202</w:t>
      </w:r>
      <w:r>
        <w:rPr>
          <w:rFonts w:cs="Times New Roman" w:ascii="Times New Roman" w:hAnsi="Times New Roman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году не было запланировано.</w:t>
      </w:r>
    </w:p>
    <w:sectPr>
      <w:footerReference w:type="default" r:id="rId2"/>
      <w:type w:val="nextPage"/>
      <w:pgSz w:w="11906" w:h="16838"/>
      <w:pgMar w:left="1417" w:right="850" w:header="0" w:top="567" w:footer="567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c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332493"/>
    <w:rPr/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332493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332493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b w:val="false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styleId="WW8Num2z0">
    <w:name w:val="WW8Num2z0"/>
    <w:qFormat/>
    <w:rPr>
      <w:rFonts w:ascii="Symbol" w:hAnsi="Symbol" w:cs="Symbol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8"/>
      <w:szCs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ListLabel4">
    <w:name w:val="ListLabel 4"/>
    <w:qFormat/>
    <w:rPr>
      <w:rFonts w:eastAsia="Times New Roman" w:cs="Times New Roman"/>
      <w:sz w:val="28"/>
      <w:szCs w:val="28"/>
    </w:rPr>
  </w:style>
  <w:style w:type="character" w:styleId="ListLabel5">
    <w:name w:val="ListLabel 5"/>
    <w:qFormat/>
    <w:rPr>
      <w:rFonts w:cs="Times New Roman"/>
      <w:sz w:val="28"/>
      <w:szCs w:val="28"/>
    </w:rPr>
  </w:style>
  <w:style w:type="character" w:styleId="ListLabel6">
    <w:name w:val="ListLabel 6"/>
    <w:qFormat/>
    <w:rPr>
      <w:rFonts w:cs="Times New Roman"/>
      <w:sz w:val="28"/>
      <w:szCs w:val="28"/>
    </w:rPr>
  </w:style>
  <w:style w:type="character" w:styleId="ListLabel7">
    <w:name w:val="ListLabel 7"/>
    <w:qFormat/>
    <w:rPr>
      <w:rFonts w:cs="Times New Roman"/>
      <w:sz w:val="28"/>
      <w:szCs w:val="28"/>
    </w:rPr>
  </w:style>
  <w:style w:type="character" w:styleId="ListLabel8">
    <w:name w:val="ListLabel 8"/>
    <w:qFormat/>
    <w:rPr>
      <w:rFonts w:cs="Times New Roman"/>
      <w:sz w:val="28"/>
      <w:szCs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Symbol"/>
      <w:sz w:val="28"/>
      <w:szCs w:val="28"/>
    </w:rPr>
  </w:style>
  <w:style w:type="character" w:styleId="ListLabel14">
    <w:name w:val="ListLabel 14"/>
    <w:qFormat/>
    <w:rPr>
      <w:rFonts w:cs="Symbol"/>
      <w:sz w:val="28"/>
      <w:szCs w:val="28"/>
    </w:rPr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WW8Num6z0">
    <w:name w:val="WW8Num6z0"/>
    <w:qFormat/>
    <w:rPr>
      <w:rFonts w:ascii="Symbol" w:hAnsi="Symbol" w:eastAsia="Calibri" w:cs="Symbol"/>
      <w:sz w:val="28"/>
      <w:szCs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  <w:sz w:val="28"/>
      <w:szCs w:val="2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eastAsia="Calibri" w:cs="Symbol"/>
      <w:sz w:val="28"/>
      <w:szCs w:val="2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7z0">
    <w:name w:val="WW8Num7z0"/>
    <w:qFormat/>
    <w:rPr>
      <w:rFonts w:ascii="Wingdings" w:hAnsi="Wingdings" w:cs="Wingdings"/>
      <w:sz w:val="28"/>
      <w:szCs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  <w:sz w:val="28"/>
      <w:szCs w:val="28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3z0">
    <w:name w:val="WW8Num13z0"/>
    <w:qFormat/>
    <w:rPr>
      <w:rFonts w:ascii="Symbol" w:hAnsi="Symbol" w:cs="Symbol"/>
      <w:color w:val="000000"/>
      <w:sz w:val="28"/>
      <w:szCs w:val="28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0z0">
    <w:name w:val="WW8Num10z0"/>
    <w:qFormat/>
    <w:rPr>
      <w:rFonts w:ascii="Symbol" w:hAnsi="Symbol" w:cs="Symbol"/>
      <w:sz w:val="28"/>
      <w:szCs w:val="2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16036d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b7e1a"/>
    <w:pPr>
      <w:spacing w:before="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bb7e1a"/>
    <w:pPr>
      <w:spacing w:before="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Header"/>
    <w:basedOn w:val="Normal"/>
    <w:link w:val="a7"/>
    <w:uiPriority w:val="99"/>
    <w:semiHidden/>
    <w:unhideWhenUsed/>
    <w:rsid w:val="0033249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33249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Абзац списка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LOnormal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LOnormal1">
    <w:name w:val="LO-normal1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en-US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color w:val="000000"/>
      <w:kern w:val="0"/>
      <w:sz w:val="20"/>
      <w:szCs w:val="20"/>
      <w:lang w:val="ru-RU" w:eastAsia="zh-CN" w:bidi="ar-SA"/>
    </w:rPr>
  </w:style>
  <w:style w:type="paragraph" w:styleId="Normal1">
    <w:name w:val="LO-normal3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12">
    <w:name w:val="WW8Num12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14">
    <w:name w:val="WW8Num14"/>
    <w:qFormat/>
  </w:style>
  <w:style w:type="numbering" w:styleId="WW8Num13">
    <w:name w:val="WW8Num13"/>
    <w:qFormat/>
  </w:style>
  <w:style w:type="numbering" w:styleId="WW8Num10">
    <w:name w:val="WW8Num10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7FD0-C1C7-47BE-B8AA-C6C2BD9D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Application>LibreOffice/6.2.8.2$Linux_x86 LibreOffice_project/f82ddfca21ebc1e222a662a32b25c0c9d20169ee</Application>
  <Pages>8</Pages>
  <Words>2542</Words>
  <Characters>18924</Characters>
  <CharactersWithSpaces>21415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2016-04-08T08:27:00Z</dcterms:created>
  <dc:creator>Скворцов</dc:creator>
  <dc:description/>
  <dc:language>ru-RU</dc:language>
  <cp:lastModifiedBy/>
  <cp:lastPrinted>2022-02-18T11:46:04Z</cp:lastPrinted>
  <dcterms:modified xsi:type="dcterms:W3CDTF">2022-02-18T13:27:22Z</dcterms:modified>
  <cp:revision>22</cp:revision>
  <dc:subject/>
  <dc:title/>
</cp:coreProperties>
</file>