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финансового управления администрации Гусь-Хрустального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оценки эффективности предоставляемых налоговых льгот по местным налогам на территории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Купреевское (сельское поселение)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статьи 61.5 Бюджетного кодекса РФ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ind w:left="709" w:hanging="0"/>
        <w:jc w:val="both"/>
        <w:rPr/>
      </w:pPr>
      <w:r>
        <w:rPr>
          <w:sz w:val="28"/>
          <w:szCs w:val="28"/>
        </w:rPr>
        <w:t>1) налог на имущество физических лиц – по нормативу 100 процентов,</w:t>
      </w:r>
    </w:p>
    <w:p>
      <w:pPr>
        <w:pStyle w:val="Normal"/>
        <w:autoSpaceDE w:val="false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 – по нормативу 100 процентов.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Порядок и методика оценки бюджетной и социальной эффективности предоставляемых (планируемых к предоставлению) налоговых льгот по местным налогам утверждены постановлением администрации муниципального образования Купреевское (сельское поселение) Гусь-Хрустального района Владимирской области от 13.10.2014 №66 (ред. от 22.06.2018) «Об оценке эффективности предоставленных и планируемых к предоставлению налоговых льгот по местным налогам» (далее Постановление).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предоставленных (планируемых к предоставлению)  льгот 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Для оценки эффективности налоговых льгот по местным налогам используются следующие критерии: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бюджетная эффективность – влияние льгот на доходы и расходы местного бюджета;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>
      <w:pPr>
        <w:pStyle w:val="Normal"/>
        <w:shd w:fill="FFFFFF" w:val="clear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Советом народных депутатов МО Купреевское (сельское поселение) в отношении местных налогов  приняты следующие нормативные правовые акты:</w:t>
      </w:r>
    </w:p>
    <w:p>
      <w:pPr>
        <w:pStyle w:val="Style17"/>
        <w:numPr>
          <w:ilvl w:val="0"/>
          <w:numId w:val="2"/>
        </w:numPr>
        <w:shd w:fill="FFFFFF" w:val="clear"/>
        <w:tabs>
          <w:tab w:val="clear" w:pos="708"/>
          <w:tab w:val="left" w:pos="142" w:leader="none"/>
          <w:tab w:val="left" w:pos="993" w:leader="none"/>
        </w:tabs>
        <w:ind w:left="0" w:right="14"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Решение Совета народных депутатов от 31.10.2014 №54 (ред. от 26.09.2018) «Об установлении налога на имущество физических лиц на территории муниципального образования Купреевское (сельское поселение) Гусь - Хрустального района Владимирской области»,</w:t>
      </w:r>
    </w:p>
    <w:p>
      <w:pPr>
        <w:pStyle w:val="Style17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993" w:leader="none"/>
        </w:tabs>
        <w:ind w:left="0" w:right="14" w:firstLine="709"/>
        <w:jc w:val="both"/>
        <w:rPr/>
      </w:pPr>
      <w:r>
        <w:rPr>
          <w:sz w:val="28"/>
          <w:szCs w:val="28"/>
        </w:rPr>
        <w:t>Решение Совета народных депутатов  от 29.01.2013 №155 (ред. от 26.09.2018) «Об установлении земельного налога на территории муниципального образования Купреевское (сельское поселение) Гусь - Хрустального района Владимирской области».</w:t>
      </w:r>
    </w:p>
    <w:p>
      <w:pPr>
        <w:pStyle w:val="Style17"/>
        <w:shd w:fill="FFFFFF" w:val="clear"/>
        <w:tabs>
          <w:tab w:val="clear" w:pos="708"/>
          <w:tab w:val="left" w:pos="0" w:leader="none"/>
          <w:tab w:val="left" w:pos="993" w:leader="none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01 января 2015 года на территории муниципального образования Купреевское (сельское поселение) Гусь-Хрустального района Владимирской области действуют максимально допустимые Налоговым кодексом размеры налоговых ставок по местным налогам (земельному налогу и налогу на имущество физических лиц).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предоставляемых налоговых льгот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местным налогам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В целях определения целесообразности потерь бюджета сельского поселения, в соответствии с пунктом 3 Приложения «Порядок ежегодной оценки эффективности предоставленных и планируемых к предоставлению налоговых льгот по местным налогам» к Постановлению, оценка эффективности предоставляемых льгот по местным налогам в бюджет сельского поселения проведена в четыре этапа. 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before="0" w:after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Проведение инвентаризации предоставленных налоговых льгот</w:t>
      </w:r>
    </w:p>
    <w:p>
      <w:pPr>
        <w:pStyle w:val="Style22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numPr>
          <w:ilvl w:val="1"/>
          <w:numId w:val="1"/>
        </w:num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Налог на имущество физических лиц</w:t>
      </w:r>
    </w:p>
    <w:p>
      <w:pPr>
        <w:pStyle w:val="Normal"/>
        <w:ind w:left="927" w:hang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Поступления по налогу на имущество физических лиц в 2019 году в бюджет МО Купреевское (сельское поселение) составили 255,2 тыс. рублей, что соответствует 13,8% от общего объема налоговых доходов.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Style22"/>
        <w:spacing w:before="0" w:after="0"/>
        <w:jc w:val="both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ind w:firstLine="567"/>
        <w:jc w:val="center"/>
        <w:rPr/>
      </w:pPr>
      <w:r>
        <w:rPr>
          <w:sz w:val="28"/>
          <w:szCs w:val="28"/>
          <w:u w:val="single"/>
        </w:rPr>
        <w:t>1.2. Земельный налог</w:t>
      </w:r>
    </w:p>
    <w:p>
      <w:pPr>
        <w:pStyle w:val="Normal"/>
        <w:ind w:firstLine="567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567"/>
        <w:jc w:val="center"/>
        <w:rPr/>
      </w:pPr>
      <w:r>
        <w:rPr/>
        <w:t>Реестр предоставленных налоговых льгот</w:t>
      </w:r>
    </w:p>
    <w:p>
      <w:pPr>
        <w:pStyle w:val="Normal"/>
        <w:ind w:firstLine="567"/>
        <w:jc w:val="center"/>
        <w:rPr/>
      </w:pPr>
      <w:r>
        <w:rPr/>
      </w:r>
    </w:p>
    <w:tbl>
      <w:tblPr>
        <w:tblW w:w="97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372"/>
        <w:gridCol w:w="2357"/>
        <w:gridCol w:w="1559"/>
        <w:gridCol w:w="992"/>
        <w:gridCol w:w="1276"/>
        <w:gridCol w:w="1711"/>
      </w:tblGrid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Вид разрешенного использования земельного участка / категория получателей льгот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Налогоплательщики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Нормативный документ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 и участники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Решение СНД от 29.01.2013 №155  «Об установлении земельного налога на территории муниципального образования Купреевское (сельское поселение) Гусь – Хрустального района Владимирской области»</w:t>
            </w:r>
          </w:p>
        </w:tc>
      </w:tr>
    </w:tbl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Реестру, получателями налоговых льгот являются физические лица.</w:t>
      </w:r>
    </w:p>
    <w:p>
      <w:pPr>
        <w:pStyle w:val="Style22"/>
        <w:numPr>
          <w:ilvl w:val="0"/>
          <w:numId w:val="1"/>
        </w:numPr>
        <w:spacing w:before="0" w:after="0"/>
        <w:jc w:val="center"/>
        <w:rPr/>
      </w:pPr>
      <w:r>
        <w:rPr>
          <w:b/>
          <w:i/>
          <w:color w:val="000000"/>
          <w:sz w:val="28"/>
          <w:szCs w:val="28"/>
        </w:rPr>
        <w:t>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</w:t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Поступления по земельному налогу в 2019 году в бюджет МО Купреевское (сельское поселение) составили 990,5 тыс. рублей, что соответствует 53,7% от общего объема налоговых доходов. </w:t>
      </w:r>
    </w:p>
    <w:p>
      <w:pPr>
        <w:pStyle w:val="Normal"/>
        <w:spacing w:before="0" w:after="240"/>
        <w:ind w:firstLine="708"/>
        <w:jc w:val="both"/>
        <w:rPr/>
      </w:pPr>
      <w:r>
        <w:rPr>
          <w:sz w:val="28"/>
          <w:szCs w:val="28"/>
        </w:rPr>
        <w:t>Суммы земельного налога, не поступившие в бюджет, в связи с предоставлением налоговых льгот отражены в таблице:</w:t>
      </w:r>
    </w:p>
    <w:p>
      <w:pPr>
        <w:pStyle w:val="Normal"/>
        <w:autoSpaceDE w:val="false"/>
        <w:jc w:val="both"/>
        <w:rPr/>
      </w:pPr>
      <w:bookmarkStart w:id="0" w:name="_1643701716"/>
      <w:bookmarkStart w:id="1" w:name="_1612179717"/>
      <w:bookmarkStart w:id="2" w:name="_1580800302"/>
      <w:bookmarkStart w:id="3" w:name="_1580800268"/>
      <w:bookmarkStart w:id="4" w:name="_1548769250"/>
      <w:bookmarkStart w:id="5" w:name="_1548769213"/>
      <w:bookmarkStart w:id="6" w:name="_1492518709"/>
      <w:bookmarkStart w:id="7" w:name="_1492517210"/>
      <w:bookmarkStart w:id="8" w:name="_1492517202"/>
      <w:bookmarkStart w:id="9" w:name="_1492517182"/>
      <w:bookmarkStart w:id="10" w:name="_1492323562"/>
      <w:bookmarkStart w:id="11" w:name="_1491823357"/>
      <w:bookmarkStart w:id="12" w:name="_1491745711"/>
      <w:bookmarkStart w:id="13" w:name="_1491743550"/>
      <w:bookmarkStart w:id="14" w:name="_1491742820"/>
      <w:bookmarkStart w:id="15" w:name="_1491742354"/>
      <w:bookmarkStart w:id="16" w:name="_1462193299"/>
      <w:bookmarkStart w:id="17" w:name="_1462193289"/>
      <w:bookmarkStart w:id="18" w:name="_1462193267"/>
      <w:bookmarkStart w:id="19" w:name="_1462193246"/>
      <w:bookmarkStart w:id="20" w:name="_1462186795"/>
      <w:bookmarkStart w:id="21" w:name="_1462186687"/>
      <w:bookmarkStart w:id="22" w:name="_1462090672"/>
      <w:bookmarkStart w:id="23" w:name="_1462090375"/>
      <w:bookmarkStart w:id="24" w:name="_1462090348"/>
      <w:bookmarkStart w:id="25" w:name="_1462090289"/>
      <w:bookmarkStart w:id="26" w:name="_1462089740"/>
      <w:bookmarkStart w:id="27" w:name="_1462088934"/>
      <w:bookmarkStart w:id="28" w:name="_1462088737"/>
      <w:bookmarkStart w:id="29" w:name="_1462088119"/>
      <w:bookmarkStart w:id="30" w:name="_1462088087"/>
      <w:bookmarkStart w:id="31" w:name="_1462087953"/>
      <w:bookmarkStart w:id="32" w:name="_1457864420"/>
      <w:bookmarkStart w:id="33" w:name="_1457780698"/>
      <w:bookmarkStart w:id="34" w:name="_1457780577"/>
      <w:bookmarkStart w:id="35" w:name="_1457780485"/>
      <w:bookmarkStart w:id="36" w:name="_1457769983"/>
      <w:bookmarkStart w:id="37" w:name="_1457769656"/>
      <w:bookmarkStart w:id="38" w:name="_1457769378"/>
      <w:bookmarkStart w:id="39" w:name="_1457769362"/>
      <w:bookmarkStart w:id="40" w:name="_1457769357"/>
      <w:bookmarkStart w:id="41" w:name="_1457769347"/>
      <w:bookmarkStart w:id="42" w:name="_1457769338"/>
      <w:bookmarkStart w:id="43" w:name="_1457769065"/>
      <w:bookmarkStart w:id="44" w:name="_1457769026"/>
      <w:bookmarkStart w:id="45" w:name="_1457769008"/>
      <w:bookmarkStart w:id="46" w:name="_1457768853"/>
      <w:bookmarkStart w:id="47" w:name="_1457768800"/>
      <w:bookmarkStart w:id="48" w:name="_1457768759"/>
      <w:bookmarkStart w:id="49" w:name="_1457768746"/>
      <w:bookmarkStart w:id="50" w:name="_1457768716"/>
      <w:bookmarkStart w:id="51" w:name="_1457768610"/>
      <w:bookmarkStart w:id="52" w:name="_1457768552"/>
      <w:bookmarkStart w:id="53" w:name="_1455024432"/>
      <w:bookmarkStart w:id="54" w:name="_1455024400"/>
      <w:bookmarkStart w:id="55" w:name="_1455024244"/>
      <w:bookmarkStart w:id="56" w:name="_1455024125"/>
      <w:bookmarkStart w:id="57" w:name="_1454912685"/>
      <w:bookmarkStart w:id="58" w:name="_1454912540"/>
      <w:bookmarkStart w:id="59" w:name="_1454851298"/>
      <w:bookmarkStart w:id="60" w:name="_1454850416"/>
      <w:bookmarkStart w:id="61" w:name="_1454850385"/>
      <w:bookmarkStart w:id="62" w:name="_1454850366"/>
      <w:bookmarkStart w:id="63" w:name="_1454850291"/>
      <w:bookmarkStart w:id="64" w:name="_1454850161"/>
      <w:bookmarkStart w:id="65" w:name="_1454850066"/>
      <w:bookmarkStart w:id="66" w:name="_1454850047"/>
      <w:bookmarkStart w:id="67" w:name="_1454850014"/>
      <w:bookmarkStart w:id="68" w:name="_1454849964"/>
      <w:bookmarkStart w:id="69" w:name="_1454849954"/>
      <w:bookmarkStart w:id="70" w:name="_1454849927"/>
      <w:bookmarkStart w:id="71" w:name="_1454849880"/>
      <w:bookmarkStart w:id="72" w:name="_1454849867"/>
      <w:bookmarkStart w:id="73" w:name="_1454849810"/>
      <w:bookmarkStart w:id="74" w:name="_14548495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/>
        <w:object w:dxaOrig="11145" w:dyaOrig="3000">
          <v:shape id="ole_rId2" style="width:483.85pt;height:116.05pt" o:ole="">
            <v:imagedata r:id="rId3" o:title=""/>
          </v:shape>
          <o:OLEObject Type="Embed" ProgID="" ShapeID="ole_rId2" DrawAspect="Content" ObjectID="_343867597" r:id="rId2"/>
        </w:objec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земельного налога, не поступившая в 2019 году в бюджет муниципального образования в связи с предоставлением налоговых льгот составила 0,6 тыс. рублей.</w:t>
      </w:r>
    </w:p>
    <w:p>
      <w:pPr>
        <w:pStyle w:val="Normal"/>
        <w:autoSpaceDE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before="0" w:after="0"/>
        <w:ind w:left="0" w:firstLine="567"/>
        <w:jc w:val="center"/>
        <w:rPr/>
      </w:pPr>
      <w:r>
        <w:rPr>
          <w:b/>
          <w:i/>
          <w:color w:val="000000"/>
          <w:sz w:val="28"/>
          <w:szCs w:val="28"/>
        </w:rPr>
        <w:t xml:space="preserve">Оценка бюджетной, социальной эффективности по предоставленным налоговым льготам </w:t>
      </w:r>
    </w:p>
    <w:p>
      <w:pPr>
        <w:pStyle w:val="Style22"/>
        <w:spacing w:before="0" w:after="0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W w:w="97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709"/>
        <w:gridCol w:w="992"/>
        <w:gridCol w:w="850"/>
        <w:gridCol w:w="993"/>
        <w:gridCol w:w="850"/>
        <w:gridCol w:w="2127"/>
        <w:gridCol w:w="860"/>
      </w:tblGrid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Вид разрешенного использования земельных участков / категория получателей льгот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Налогоплательщик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Сумма налогов, уплаченная в бюджет муниципального образования (тыс.руб.)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4"/>
                <w:szCs w:val="14"/>
              </w:rPr>
              <w:t>Прирост (+) / снижение (-),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Потери бюджета муниципального образования (тыс.руб.)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Коэффициент эффективности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эффективности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2019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2018 году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бюджетная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Инвалиды и участники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/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данным Межрайонной инспекции Федеральной налоговой службы России  №1 по Владимирской области льготой по уплате земельного налога в 2018 году воспользовался 1 человек из категории льготников. Кадастровая стоимость земельных участков, находящихся в их собственности, составила 227,4 тыс. рублей. Сумма потерь бюджета муниципального образования составила 0,6 тыс.рублей.</w:t>
            </w:r>
          </w:p>
          <w:p>
            <w:pPr>
              <w:pStyle w:val="Normal"/>
              <w:ind w:hanging="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Учитывая, что инвалиды и участники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льгота в виде полного освобождения от уплаты земельного налога данной категории налогоплательщиков направлена на снижение налоговой нагрузки, можно сделать вывод о её положительной социальной эффективности.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Не рассматривалась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autoSpaceDE w:val="false"/>
        <w:spacing w:before="0" w:after="24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Оценив в целом, эффективность предоставленных налоговых льгот можно сделать следующие выводы.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Льготы, предоставленные решениями Совета народных депутатов муниципального образования Купреевское (сельское поселение) Гусь-Хрустального района Владимирской области»  сложились в сумме 0,6 тыс. рублей или  0,06 % от поступления земельного налога в 2019 году и 0,03 % от общего объема налоговых доходов.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проведенной оценки социальная эффективность предоставляемых налоговых льгот по местным налогам признана положительной, бюджетная эффективность - не рассматривалась. Предоставляемые льготы по местным налогам признаются эффективными.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Льготы инвалидам и участникам Великой Отечественной войны в виде полного освобождения от уплаты земельного налога необходимо сохранить.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льготы в виде снижения ставок по земельному налогу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 района,</w:t>
      </w:r>
    </w:p>
    <w:p>
      <w:pPr>
        <w:pStyle w:val="Normal"/>
        <w:autoSpaceDE w:val="false"/>
        <w:ind w:firstLine="284"/>
        <w:jc w:val="both"/>
        <w:rPr/>
      </w:pPr>
      <w:r>
        <w:rPr>
          <w:sz w:val="28"/>
          <w:szCs w:val="28"/>
        </w:rPr>
        <w:t>начальник финансового управления                                              Л.В. Ахмерова</w:t>
      </w:r>
    </w:p>
    <w:sectPr>
      <w:type w:val="nextPage"/>
      <w:pgSz w:w="11906" w:h="16838"/>
      <w:pgMar w:left="1701" w:right="567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8"/>
        <w:i/>
        <w:b/>
        <w:szCs w:val="28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sz w:val="28"/>
        <w:i/>
        <w:b/>
        <w:szCs w:val="28"/>
        <w:color w:val="000000"/>
      </w:rPr>
    </w:lvl>
    <w:lvl w:ilvl="2">
      <w:start w:val="1"/>
      <w:numFmt w:val="decimal"/>
      <w:lvlText w:val="%1.%2.%3."/>
      <w:lvlJc w:val="left"/>
      <w:pPr>
        <w:ind w:left="2007" w:hanging="720"/>
      </w:pPr>
      <w:rPr>
        <w:sz w:val="28"/>
        <w:i/>
        <w:b/>
        <w:szCs w:val="28"/>
        <w:color w:val="000000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sz w:val="28"/>
        <w:i/>
        <w:b/>
        <w:szCs w:val="28"/>
        <w:color w:val="000000"/>
      </w:rPr>
    </w:lvl>
    <w:lvl w:ilvl="4">
      <w:start w:val="1"/>
      <w:numFmt w:val="decimal"/>
      <w:lvlText w:val="%1.%2.%3.%4.%5."/>
      <w:lvlJc w:val="left"/>
      <w:pPr>
        <w:ind w:left="3087" w:hanging="1080"/>
      </w:pPr>
      <w:rPr>
        <w:sz w:val="28"/>
        <w:i/>
        <w:b/>
        <w:szCs w:val="28"/>
        <w:color w:val="000000"/>
      </w:rPr>
    </w:lvl>
    <w:lvl w:ilvl="5">
      <w:start w:val="1"/>
      <w:numFmt w:val="decimal"/>
      <w:lvlText w:val="%1.%2.%3.%4.%5.%6."/>
      <w:lvlJc w:val="left"/>
      <w:pPr>
        <w:ind w:left="3807" w:hanging="1440"/>
      </w:pPr>
      <w:rPr>
        <w:sz w:val="28"/>
        <w:i/>
        <w:b/>
        <w:szCs w:val="28"/>
        <w:color w:val="000000"/>
      </w:rPr>
    </w:lvl>
    <w:lvl w:ilvl="6">
      <w:start w:val="1"/>
      <w:numFmt w:val="decimal"/>
      <w:lvlText w:val="%1.%2.%3.%4.%5.%6.%7."/>
      <w:lvlJc w:val="left"/>
      <w:pPr>
        <w:ind w:left="4527" w:hanging="1800"/>
      </w:pPr>
      <w:rPr>
        <w:sz w:val="28"/>
        <w:i/>
        <w:b/>
        <w:szCs w:val="28"/>
        <w:color w:val="000000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sz w:val="28"/>
        <w:i/>
        <w:b/>
        <w:szCs w:val="28"/>
        <w:color w:val="000000"/>
      </w:rPr>
    </w:lvl>
    <w:lvl w:ilvl="8">
      <w:start w:val="1"/>
      <w:numFmt w:val="decimal"/>
      <w:lvlText w:val="%1.%2.%3.%4.%5.%6.%7.%8.%9."/>
      <w:lvlJc w:val="left"/>
      <w:pPr>
        <w:ind w:left="5607" w:hanging="2160"/>
      </w:pPr>
      <w:rPr>
        <w:sz w:val="28"/>
        <w:i/>
        <w:b/>
        <w:szCs w:val="28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b/>
      <w:i/>
      <w:color w:val="000000"/>
      <w:sz w:val="28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sz w:val="3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36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380</TotalTime>
  <Application>LibreOffice/6.4.0.3$Windows_x86 LibreOffice_project/b0a288ab3d2d4774cb44b62f04d5d28733ac6df8</Application>
  <Pages>4</Pages>
  <Words>871</Words>
  <Characters>6399</Characters>
  <CharactersWithSpaces>7263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2015-04-28T16:16:00Z</dcterms:created>
  <dc:creator>drj</dc:creator>
  <dc:description/>
  <cp:keywords/>
  <dc:language>ru-RU</dc:language>
  <cp:lastModifiedBy>Otd-Dox</cp:lastModifiedBy>
  <cp:lastPrinted>2020-02-26T10:40:00Z</cp:lastPrinted>
  <dcterms:modified xsi:type="dcterms:W3CDTF">2020-02-26T10:41:00Z</dcterms:modified>
  <cp:revision>50</cp:revision>
  <dc:subject/>
  <dc:title>Результаты оценки эффективности предоставления налоговых льгот представляются в форме аналитической записки, содержащей:</dc:title>
</cp:coreProperties>
</file>