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финансового управления администрации Гусь-Хрустального района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результатам оценки эффективности предоставляемых налоговых льгот по местным налогам на территории муниципального образования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 Мезиновский (сельское поселение)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Согласно статьи 61.5 Бюджетного кодекса РФ в бюджеты сельских поселений зачисляются налоговые доходы от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сборах:</w:t>
      </w:r>
    </w:p>
    <w:p>
      <w:pPr>
        <w:pStyle w:val="Normal"/>
        <w:tabs>
          <w:tab w:val="clear" w:pos="708"/>
          <w:tab w:val="left" w:pos="360" w:leader="none"/>
        </w:tabs>
        <w:autoSpaceDE w:val="false"/>
        <w:ind w:left="709" w:hanging="0"/>
        <w:jc w:val="both"/>
        <w:rPr/>
      </w:pPr>
      <w:r>
        <w:rPr>
          <w:sz w:val="28"/>
          <w:szCs w:val="28"/>
        </w:rPr>
        <w:t>1) налог на имущество физических лиц – по нормативу 100 процентов,</w:t>
      </w:r>
    </w:p>
    <w:p>
      <w:pPr>
        <w:pStyle w:val="Normal"/>
        <w:autoSpaceDE w:val="false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2) земельный налог – по нормативу 100 процентов.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Порядок и методика оценки бюджетной и социальной эффективности предоставляемых (планируемых к предоставлению) налоговых льгот по местным налогам утверждены постановлением администрации муниципального образования п. Мезиновский (сельское поселение) Гусь – Хрустального района Владимирской области от 01.10.2014 №33 (ред. от 22.06.2018) «Об оценке эффективности предоставленных и планируемых к предоставлению налоговых льгот по местным налогам» (далее Постановление).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эффективности предоставленных (планируемых к предоставлению)  льгот  по местным налогам проводится в целях оптимизации перечня действующих льгот и обеспечения оптимального выбора категорий налогоплательщиков для предоставления поддержки в форме налоговых льгот.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Для оценки эффективности налоговых льгот по местным налогам используются следующие критерии: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бюджетная эффективность – влияние льгот на доходы и расходы местного бюджета;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социальная эффективность – социальные последствия предоставляемых (планируемых к предоставлению) льгот, которые выражаются в изменении уровня и качества услуг для населения, оказание поддержки незащищенным категориям граждан.</w:t>
      </w:r>
    </w:p>
    <w:p>
      <w:pPr>
        <w:pStyle w:val="Normal"/>
        <w:shd w:fill="FFFFFF" w:val="clear"/>
        <w:ind w:right="14"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Советом народных депутатов МО п. Мезиновский (сельское поселение) в отношении местных налогов  приняты следующие нормативные правовые акты:</w:t>
      </w:r>
    </w:p>
    <w:p>
      <w:pPr>
        <w:pStyle w:val="Style17"/>
        <w:numPr>
          <w:ilvl w:val="0"/>
          <w:numId w:val="2"/>
        </w:numPr>
        <w:shd w:fill="FFFFFF" w:val="clear"/>
        <w:tabs>
          <w:tab w:val="clear" w:pos="708"/>
          <w:tab w:val="left" w:pos="142" w:leader="none"/>
          <w:tab w:val="left" w:pos="993" w:leader="none"/>
        </w:tabs>
        <w:ind w:left="0" w:right="14" w:firstLine="72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Решение Совета народных депутатов от 30.10.2014 №26 (ред. от 27.09.2018) «Об установлении налога на имущество физических лиц на территории муниципального образования поселок Мезиновский (сельское поселение) Гусь - Хрустального района Владимирской области»,</w:t>
      </w:r>
    </w:p>
    <w:p>
      <w:pPr>
        <w:pStyle w:val="Style17"/>
        <w:numPr>
          <w:ilvl w:val="0"/>
          <w:numId w:val="2"/>
        </w:numPr>
        <w:shd w:fill="FFFFFF" w:val="clear"/>
        <w:tabs>
          <w:tab w:val="clear" w:pos="708"/>
          <w:tab w:val="left" w:pos="0" w:leader="none"/>
          <w:tab w:val="left" w:pos="993" w:leader="none"/>
        </w:tabs>
        <w:ind w:left="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народных депутатов  от 11.11.2010 №37 (ред. от 27.09.2018)  «Об установлении земельного налога на территории муниципального образования поселок Мезиновский (сельское поселение) Гусь - Хрустального района Владимирской области».</w:t>
      </w:r>
      <w:r>
        <w:rPr>
          <w:color w:val="000000"/>
        </w:rPr>
        <w:t xml:space="preserve"> </w:t>
        <w:tab/>
      </w:r>
    </w:p>
    <w:p>
      <w:pPr>
        <w:pStyle w:val="Style17"/>
        <w:shd w:fill="FFFFFF" w:val="clear"/>
        <w:tabs>
          <w:tab w:val="clear" w:pos="708"/>
          <w:tab w:val="left" w:pos="0" w:leader="none"/>
          <w:tab w:val="left" w:pos="993" w:leader="none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 01 января 2015 года на территории муниципального образования п. Мезиновский (сельское поселение) Гусь-Хрустального района Владимирской области действуют максимально допустимые Налоговым кодексом размеры налоговых ставок по местным налогам (земельному налогу и налогу на имущество физических лиц).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эффективности предоставляемых налоговых льгот 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местным налогам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</w:rPr>
        <w:t xml:space="preserve">В целях определения целесообразности потерь бюджета сельского поселения, в соответствии с пунктом 3 Приложения «Порядок ежегодной оценки эффективности предоставленных и планируемых к предоставлению налоговых льгот по местным налогам» к Постановлению, оценка эффективности предоставляемых льгот по местным налогам в бюджет сельского поселения проведена в четыре этапа.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2"/>
        <w:numPr>
          <w:ilvl w:val="0"/>
          <w:numId w:val="1"/>
        </w:numPr>
        <w:spacing w:before="0" w:after="0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Проведение инвентаризации предоставленных налоговых льгот</w:t>
      </w:r>
    </w:p>
    <w:p>
      <w:pPr>
        <w:pStyle w:val="Style22"/>
        <w:spacing w:before="0" w:after="0"/>
        <w:ind w:left="927" w:hanging="0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numPr>
          <w:ilvl w:val="1"/>
          <w:numId w:val="1"/>
        </w:num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Налог на имущество физических лиц</w:t>
      </w:r>
    </w:p>
    <w:p>
      <w:pPr>
        <w:pStyle w:val="Normal"/>
        <w:ind w:left="927" w:hanging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Поступления по налогу на имущество физических лиц в 2019 году в бюджет МО п. Мезиновский (сельское поселение) составили 216,3 тыс. рублей, что соответствует 6,7% от общего объема налоговых доходов.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Льготы по налогу на имущество физических лиц установлены в соответствии с федеральным законодательством РФ. Дополнительные льготы органами местного самоуправления не предоставлялись, </w:t>
      </w:r>
      <w:r>
        <w:rPr>
          <w:color w:val="000000"/>
          <w:sz w:val="28"/>
          <w:szCs w:val="28"/>
        </w:rPr>
        <w:t>следовательно, бюджетная и социальная эффективность налоговых льгот не рассчитывалась.</w:t>
      </w:r>
    </w:p>
    <w:p>
      <w:pPr>
        <w:pStyle w:val="Style22"/>
        <w:spacing w:before="0" w:after="0"/>
        <w:ind w:left="927" w:hanging="0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ind w:firstLine="567"/>
        <w:jc w:val="center"/>
        <w:rPr/>
      </w:pPr>
      <w:r>
        <w:rPr>
          <w:sz w:val="28"/>
          <w:szCs w:val="28"/>
          <w:u w:val="single"/>
        </w:rPr>
        <w:t>1.2. Земельный налог</w:t>
      </w:r>
    </w:p>
    <w:p>
      <w:pPr>
        <w:pStyle w:val="Normal"/>
        <w:ind w:firstLine="567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567"/>
        <w:jc w:val="center"/>
        <w:rPr/>
      </w:pPr>
      <w:r>
        <w:rPr/>
        <w:t>Реестр предоставленных налоговых льгот</w:t>
      </w:r>
    </w:p>
    <w:p>
      <w:pPr>
        <w:pStyle w:val="Normal"/>
        <w:ind w:firstLine="567"/>
        <w:jc w:val="center"/>
        <w:rPr/>
      </w:pPr>
      <w:r>
        <w:rPr/>
      </w:r>
    </w:p>
    <w:tbl>
      <w:tblPr>
        <w:tblW w:w="9757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372"/>
        <w:gridCol w:w="2073"/>
        <w:gridCol w:w="1418"/>
        <w:gridCol w:w="1276"/>
        <w:gridCol w:w="1134"/>
        <w:gridCol w:w="1852"/>
      </w:tblGrid>
      <w:tr>
        <w:trPr/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налога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Вид разрешенного использования земельных участков / категория получателей льгот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Налоговый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Налогоплательщики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Нормативный документ</w:t>
            </w:r>
          </w:p>
        </w:tc>
      </w:tr>
      <w:tr>
        <w:trPr/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 и участники Великой Отечественной войны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Решение СНД </w:t>
            </w:r>
            <w:r>
              <w:rPr>
                <w:sz w:val="16"/>
                <w:szCs w:val="16"/>
              </w:rPr>
              <w:t>от 01.06.2011 №20 «О внесении изменений в решение Совета народных депутатов от 11.11.2010 №37 (ред. от 01.06.2011) «Об установлении земельного налога на территории муниципального образования п. Мезиновский (сельское поселение) Гусь - Хрустального района Владимирской области»</w:t>
            </w:r>
          </w:p>
        </w:tc>
      </w:tr>
    </w:tbl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Реестру, получателями налоговых льгот являются физические лица.</w:t>
      </w:r>
    </w:p>
    <w:p>
      <w:pPr>
        <w:pStyle w:val="Style22"/>
        <w:numPr>
          <w:ilvl w:val="0"/>
          <w:numId w:val="1"/>
        </w:numPr>
        <w:spacing w:before="0" w:after="0"/>
        <w:jc w:val="center"/>
        <w:rPr/>
      </w:pPr>
      <w:r>
        <w:rPr>
          <w:b/>
          <w:i/>
          <w:color w:val="000000"/>
          <w:sz w:val="28"/>
          <w:szCs w:val="28"/>
        </w:rPr>
        <w:t>Определение объемов недополученных (выпадающих) доходов бюджета муниципального образования (сельского поселения), обусловленных предоставлением налоговых льгот</w:t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Поступления по земельному налогу в 2019 году в бюджет МО п. Мезиновский (сельское поселение) составили 2 073,1 тыс. рублей, что соответствует 64% от общего объема налоговых доходов.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Суммы земельного налога, не поступившие в бюджет, в связи с предоставлением налоговых льгот отражены в таблице: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/>
      </w:pPr>
      <w:bookmarkStart w:id="0" w:name="_1643703305"/>
      <w:bookmarkStart w:id="1" w:name="_1612180257"/>
      <w:bookmarkStart w:id="2" w:name="_1580815687"/>
      <w:bookmarkStart w:id="3" w:name="_1580800456"/>
      <w:bookmarkStart w:id="4" w:name="_1580800396"/>
      <w:bookmarkStart w:id="5" w:name="_1548833134"/>
      <w:bookmarkStart w:id="6" w:name="_1533542215"/>
      <w:bookmarkStart w:id="7" w:name="_1533541967"/>
      <w:bookmarkStart w:id="8" w:name="_1533541825"/>
      <w:bookmarkStart w:id="9" w:name="_1533541106"/>
      <w:bookmarkStart w:id="10" w:name="_1533540274"/>
      <w:bookmarkStart w:id="11" w:name="_1533538248"/>
      <w:bookmarkStart w:id="12" w:name="_1533536030"/>
      <w:bookmarkStart w:id="13" w:name="_1533475045"/>
      <w:bookmarkStart w:id="14" w:name="_1533474997"/>
      <w:bookmarkStart w:id="15" w:name="_1533474937"/>
      <w:bookmarkStart w:id="16" w:name="_1517318253"/>
      <w:bookmarkStart w:id="17" w:name="_1503834250"/>
      <w:bookmarkStart w:id="18" w:name="_1492424610"/>
      <w:bookmarkStart w:id="19" w:name="_1492424598"/>
      <w:bookmarkStart w:id="20" w:name="_1492423951"/>
      <w:bookmarkStart w:id="21" w:name="_1491635343"/>
      <w:bookmarkStart w:id="22" w:name="_1491634912"/>
      <w:bookmarkStart w:id="23" w:name="_1462361250"/>
      <w:bookmarkStart w:id="24" w:name="_1462361241"/>
      <w:bookmarkStart w:id="25" w:name="_1462361227"/>
      <w:bookmarkStart w:id="26" w:name="_1462361169"/>
      <w:bookmarkStart w:id="27" w:name="_1462359104"/>
      <w:bookmarkStart w:id="28" w:name="_1462194005"/>
      <w:bookmarkStart w:id="29" w:name="_1462191992"/>
      <w:bookmarkStart w:id="30" w:name="_1462173780"/>
      <w:bookmarkStart w:id="31" w:name="_1458045330"/>
      <w:bookmarkStart w:id="32" w:name="_1458045320"/>
      <w:bookmarkStart w:id="33" w:name="_1458044847"/>
      <w:bookmarkStart w:id="34" w:name="_1457955399"/>
      <w:bookmarkStart w:id="35" w:name="_1457955261"/>
      <w:bookmarkStart w:id="36" w:name="_1457951989"/>
      <w:bookmarkStart w:id="37" w:name="_1455024432"/>
      <w:bookmarkStart w:id="38" w:name="_1455024400"/>
      <w:bookmarkStart w:id="39" w:name="_1455024244"/>
      <w:bookmarkStart w:id="40" w:name="_1455024125"/>
      <w:bookmarkStart w:id="41" w:name="_1454912685"/>
      <w:bookmarkStart w:id="42" w:name="_1454912540"/>
      <w:bookmarkStart w:id="43" w:name="_1454851298"/>
      <w:bookmarkStart w:id="44" w:name="_1454850416"/>
      <w:bookmarkStart w:id="45" w:name="_1454850385"/>
      <w:bookmarkStart w:id="46" w:name="_1454850366"/>
      <w:bookmarkStart w:id="47" w:name="_1454850291"/>
      <w:bookmarkStart w:id="48" w:name="_1454850161"/>
      <w:bookmarkStart w:id="49" w:name="_1454850066"/>
      <w:bookmarkStart w:id="50" w:name="_1454850047"/>
      <w:bookmarkStart w:id="51" w:name="_1454850014"/>
      <w:bookmarkStart w:id="52" w:name="_1454849964"/>
      <w:bookmarkStart w:id="53" w:name="_1454849954"/>
      <w:bookmarkStart w:id="54" w:name="_1454849927"/>
      <w:bookmarkStart w:id="55" w:name="_1454849880"/>
      <w:bookmarkStart w:id="56" w:name="_1454849867"/>
      <w:bookmarkStart w:id="57" w:name="_1454849810"/>
      <w:bookmarkStart w:id="58" w:name="_145484952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>
        <w:rPr/>
        <w:object w:dxaOrig="10335" w:dyaOrig="3720">
          <v:shape id="ole_rId2" style="width:478pt;height:158.8pt" o:ole="">
            <v:imagedata r:id="rId3" o:title=""/>
          </v:shape>
          <o:OLEObject Type="Embed" ProgID="" ShapeID="ole_rId2" DrawAspect="Content" ObjectID="_289064977" r:id="rId2"/>
        </w:object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земельного налога, не поступившая в 2019 году в бюджет муниципального образования в связи с предоставлением налоговых льгот составила 1,7 тыс. рублей.</w:t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spacing w:before="0" w:after="0"/>
        <w:ind w:firstLine="567"/>
        <w:jc w:val="center"/>
        <w:rPr>
          <w:i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3. Оценка бюджетной, социальной эффективности по предоставленным налоговым льготам </w:t>
      </w:r>
    </w:p>
    <w:tbl>
      <w:tblPr>
        <w:tblW w:w="97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850"/>
        <w:gridCol w:w="851"/>
        <w:gridCol w:w="708"/>
        <w:gridCol w:w="851"/>
        <w:gridCol w:w="850"/>
        <w:gridCol w:w="2694"/>
        <w:gridCol w:w="860"/>
      </w:tblGrid>
      <w:tr>
        <w:trPr/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Вид разрешенного использования земельных участков / категория получателей льгот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Налогоплательщик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Сумма налогов, уплаченная в бюджет муниципального образования (тыс.руб.)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Прирост (+) / снижение (-), (тыс.руб.)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Потери бюджета муниципального образования (тыс.руб.)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Коэффициент эффективности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Оценка эффективности</w:t>
            </w:r>
          </w:p>
        </w:tc>
      </w:tr>
      <w:tr>
        <w:trPr/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в 2019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в 2018 году</w:t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бюджетная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>Инвалиды и участники Великой Отечественной войны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данным Межрайонной инспекции Федеральной налоговой службы России  №1 по Владимирской области льготой по уплате земельного налога в 2018 году воспользовались 3 человека из категории льготников. Кадастровая стоимость земельных участков, находящихся в их собственности, составила 674,9 тыс. рублей. Сумма потерь бюджета муниципального образования составила 1,7 тыс. рублей.</w:t>
            </w:r>
          </w:p>
          <w:p>
            <w:pPr>
              <w:pStyle w:val="Normal"/>
              <w:ind w:hanging="1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Учитывая, что инвалиды и участники Великой Отечественной войны являются особо значимой для общества категорией людей, нуждающихся во внимании и поддержке со стороны органов местного самоуправления, и льгота в виде полного освобождения от уплаты земельного налога данной категории налогоплательщиков направлена на снижение налоговой нагрузки, можно сделать вывод о её положительной социальной эффективности.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sz w:val="20"/>
                <w:szCs w:val="20"/>
              </w:rPr>
              <w:t>Не рассматривалась</w:t>
            </w:r>
          </w:p>
        </w:tc>
      </w:tr>
    </w:tbl>
    <w:p>
      <w:pPr>
        <w:pStyle w:val="Normal"/>
        <w:autoSpaceDE w:val="false"/>
        <w:spacing w:before="0" w:after="240"/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>
      <w:pPr>
        <w:pStyle w:val="Normal"/>
        <w:autoSpaceDE w:val="false"/>
        <w:spacing w:lineRule="auto" w:line="276"/>
        <w:ind w:firstLine="540"/>
        <w:jc w:val="both"/>
        <w:rPr/>
      </w:pPr>
      <w:r>
        <w:rPr>
          <w:sz w:val="28"/>
          <w:szCs w:val="28"/>
        </w:rPr>
        <w:t>Оценив в целом, эффективность предоставленных налоговых льгот можно сделать следующие выводы.</w:t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Льготы, предоставленные решениями Совета народных депутатов муниципального образования п. Мезиновский (сельское поселение) Гусь-Хрустального района Владимирской области сложились в сумме 1,7 тыс. рублей или  0,08% от поступления земельного налога в 2019 году и 0,05% от общего объема налоговых доходов.</w:t>
      </w:r>
    </w:p>
    <w:p>
      <w:pPr>
        <w:pStyle w:val="Normal"/>
        <w:autoSpaceDE w:val="false"/>
        <w:spacing w:lineRule="auto" w:line="276"/>
        <w:ind w:firstLine="540"/>
        <w:jc w:val="both"/>
        <w:rPr/>
      </w:pPr>
      <w:r>
        <w:rPr>
          <w:sz w:val="28"/>
          <w:szCs w:val="28"/>
        </w:rPr>
        <w:t>По итогам проведенной оценки социальная эффективность предоставляемых налоговых льгот по местным налогам признана положительной, бюджетная эффективность - не рассматривалась. Предоставляемые льготы по местным налогам признаются эффективными.</w:t>
      </w:r>
    </w:p>
    <w:p>
      <w:pPr>
        <w:pStyle w:val="Normal"/>
        <w:autoSpaceDE w:val="false"/>
        <w:spacing w:lineRule="auto" w:line="276"/>
        <w:ind w:firstLine="540"/>
        <w:jc w:val="both"/>
        <w:rPr/>
      </w:pPr>
      <w:r>
        <w:rPr>
          <w:sz w:val="28"/>
          <w:szCs w:val="28"/>
        </w:rPr>
        <w:t>Льготы инвалидам и участникам Великой Отечественной войны в виде полного освобождения от уплаты земельного налога необходимо сохранить.</w:t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льготы в виде снижения ставок по земельному налогу органами местного самоуправления не предоставлялись, </w:t>
      </w:r>
      <w:r>
        <w:rPr>
          <w:color w:val="000000"/>
          <w:sz w:val="28"/>
          <w:szCs w:val="28"/>
        </w:rPr>
        <w:t>следовательно, бюджетная и социальная эффективность налоговых льгот не рассчитывалась.</w:t>
      </w:r>
      <w:r>
        <w:rPr>
          <w:sz w:val="28"/>
          <w:szCs w:val="28"/>
        </w:rPr>
        <w:t xml:space="preserve"> </w:t>
      </w:r>
    </w:p>
    <w:p>
      <w:pPr>
        <w:pStyle w:val="Normal"/>
        <w:autoSpaceDE w:val="false"/>
        <w:spacing w:lineRule="auto" w:line="276"/>
        <w:ind w:left="567" w:hanging="2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Зам. главы администрации района,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Л.В. Ахмерова</w:t>
      </w:r>
    </w:p>
    <w:sectPr>
      <w:type w:val="nextPage"/>
      <w:pgSz w:w="11906" w:h="16838"/>
      <w:pgMar w:left="1701" w:right="567" w:header="0" w:top="1134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8"/>
        <w:i/>
        <w:b/>
        <w:szCs w:val="28"/>
        <w:color w:val="000000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sz w:val="28"/>
        <w:i/>
        <w:b/>
        <w:szCs w:val="28"/>
        <w:color w:val="000000"/>
      </w:rPr>
    </w:lvl>
    <w:lvl w:ilvl="2">
      <w:start w:val="1"/>
      <w:numFmt w:val="decimal"/>
      <w:lvlText w:val="%1.%2.%3."/>
      <w:lvlJc w:val="left"/>
      <w:pPr>
        <w:ind w:left="2007" w:hanging="720"/>
      </w:pPr>
      <w:rPr>
        <w:sz w:val="28"/>
        <w:i/>
        <w:b/>
        <w:szCs w:val="28"/>
        <w:color w:val="000000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sz w:val="28"/>
        <w:i/>
        <w:b/>
        <w:szCs w:val="28"/>
        <w:color w:val="000000"/>
      </w:rPr>
    </w:lvl>
    <w:lvl w:ilvl="4">
      <w:start w:val="1"/>
      <w:numFmt w:val="decimal"/>
      <w:lvlText w:val="%1.%2.%3.%4.%5."/>
      <w:lvlJc w:val="left"/>
      <w:pPr>
        <w:ind w:left="3087" w:hanging="1080"/>
      </w:pPr>
      <w:rPr>
        <w:sz w:val="28"/>
        <w:i/>
        <w:b/>
        <w:szCs w:val="28"/>
        <w:color w:val="000000"/>
      </w:rPr>
    </w:lvl>
    <w:lvl w:ilvl="5">
      <w:start w:val="1"/>
      <w:numFmt w:val="decimal"/>
      <w:lvlText w:val="%1.%2.%3.%4.%5.%6."/>
      <w:lvlJc w:val="left"/>
      <w:pPr>
        <w:ind w:left="3807" w:hanging="1440"/>
      </w:pPr>
      <w:rPr>
        <w:sz w:val="28"/>
        <w:i/>
        <w:b/>
        <w:szCs w:val="28"/>
        <w:color w:val="000000"/>
      </w:rPr>
    </w:lvl>
    <w:lvl w:ilvl="6">
      <w:start w:val="1"/>
      <w:numFmt w:val="decimal"/>
      <w:lvlText w:val="%1.%2.%3.%4.%5.%6.%7."/>
      <w:lvlJc w:val="left"/>
      <w:pPr>
        <w:ind w:left="4527" w:hanging="1800"/>
      </w:pPr>
      <w:rPr>
        <w:sz w:val="28"/>
        <w:i/>
        <w:b/>
        <w:szCs w:val="28"/>
        <w:color w:val="000000"/>
      </w:rPr>
    </w:lvl>
    <w:lvl w:ilvl="7">
      <w:start w:val="1"/>
      <w:numFmt w:val="decimal"/>
      <w:lvlText w:val="%1.%2.%3.%4.%5.%6.%7.%8."/>
      <w:lvlJc w:val="left"/>
      <w:pPr>
        <w:ind w:left="4887" w:hanging="1800"/>
      </w:pPr>
      <w:rPr>
        <w:sz w:val="28"/>
        <w:i/>
        <w:b/>
        <w:szCs w:val="28"/>
        <w:color w:val="000000"/>
      </w:rPr>
    </w:lvl>
    <w:lvl w:ilvl="8">
      <w:start w:val="1"/>
      <w:numFmt w:val="decimal"/>
      <w:lvlText w:val="%1.%2.%3.%4.%5.%6.%7.%8.%9."/>
      <w:lvlJc w:val="left"/>
      <w:pPr>
        <w:ind w:left="5607" w:hanging="2160"/>
      </w:pPr>
      <w:rPr>
        <w:sz w:val="28"/>
        <w:i/>
        <w:b/>
        <w:szCs w:val="28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sz w:val="28"/>
        <w:szCs w:val="28"/>
        <w:color w:val="000000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sz w:val="28"/>
        <w:szCs w:val="28"/>
        <w:color w:val="000000"/>
      </w:rPr>
    </w:lvl>
    <w:lvl w:ilvl="3">
      <w:start w:val="1"/>
      <w:numFmt w:val="decimal"/>
      <w:lvlText w:val="%1.%2.%3.%4."/>
      <w:lvlJc w:val="left"/>
      <w:pPr>
        <w:ind w:left="2484" w:hanging="1080"/>
      </w:pPr>
      <w:rPr>
        <w:sz w:val="28"/>
        <w:szCs w:val="28"/>
        <w:color w:val="000000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sz w:val="28"/>
        <w:szCs w:val="28"/>
        <w:color w:val="00000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sz w:val="28"/>
        <w:szCs w:val="28"/>
        <w:color w:val="000000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sz w:val="28"/>
        <w:szCs w:val="28"/>
        <w:color w:val="000000"/>
      </w:rPr>
    </w:lvl>
    <w:lvl w:ilvl="7">
      <w:start w:val="1"/>
      <w:numFmt w:val="decimal"/>
      <w:lvlText w:val="%1.%2.%3.%4.%5.%6.%7.%8."/>
      <w:lvlJc w:val="left"/>
      <w:pPr>
        <w:ind w:left="4596" w:hanging="1800"/>
      </w:pPr>
      <w:rPr>
        <w:sz w:val="28"/>
        <w:szCs w:val="28"/>
        <w:color w:val="000000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sz w:val="28"/>
        <w:szCs w:val="28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b/>
      <w:i/>
      <w:color w:val="000000"/>
      <w:sz w:val="28"/>
      <w:szCs w:val="28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color w:val="000000"/>
      <w:sz w:val="28"/>
      <w:szCs w:val="28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/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basedOn w:val="Style14"/>
    <w:qFormat/>
    <w:rPr>
      <w:sz w:val="3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jc w:val="center"/>
    </w:pPr>
    <w:rPr>
      <w:sz w:val="36"/>
      <w:szCs w:val="20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1988</TotalTime>
  <Application>LibreOffice/6.4.0.3$Windows_x86 LibreOffice_project/b0a288ab3d2d4774cb44b62f04d5d28733ac6df8</Application>
  <Pages>3</Pages>
  <Words>897</Words>
  <Characters>6509</Characters>
  <CharactersWithSpaces>7395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2013-12-17T08:53:00Z</dcterms:created>
  <dc:creator>drj</dc:creator>
  <dc:description/>
  <cp:keywords/>
  <dc:language>ru-RU</dc:language>
  <cp:lastModifiedBy>TatRub</cp:lastModifiedBy>
  <cp:lastPrinted>2019-02-22T10:45:00Z</cp:lastPrinted>
  <dcterms:modified xsi:type="dcterms:W3CDTF">2020-02-26T11:19:00Z</dcterms:modified>
  <cp:revision>145</cp:revision>
  <dc:subject/>
  <dc:title>Результаты оценки эффективности предоставления налоговых льгот представляются в форме аналитической записки, содержащей:</dc:title>
</cp:coreProperties>
</file>